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36" w:type="dxa"/>
        <w:tblInd w:w="103" w:type="dxa"/>
        <w:tblLook w:val="04A0" w:firstRow="1" w:lastRow="0" w:firstColumn="1" w:lastColumn="0" w:noHBand="0" w:noVBand="1"/>
      </w:tblPr>
      <w:tblGrid>
        <w:gridCol w:w="540"/>
        <w:gridCol w:w="3965"/>
        <w:gridCol w:w="875"/>
        <w:gridCol w:w="1576"/>
        <w:gridCol w:w="1509"/>
        <w:gridCol w:w="886"/>
      </w:tblGrid>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center"/>
              <w:rPr>
                <w:rFonts w:ascii="Calibri" w:eastAsia="Times New Roman" w:hAnsi="Calibri" w:cs="Calibri"/>
                <w:b/>
                <w:bCs/>
                <w:color w:val="000000"/>
                <w:sz w:val="18"/>
                <w:szCs w:val="18"/>
              </w:rPr>
            </w:pPr>
            <w:bookmarkStart w:id="0" w:name="RANGE!A1:Y91"/>
            <w:r w:rsidRPr="00285724">
              <w:rPr>
                <w:rFonts w:ascii="Calibri" w:eastAsia="Times New Roman" w:hAnsi="Calibri" w:cs="Calibri"/>
                <w:b/>
                <w:bCs/>
                <w:color w:val="000000"/>
                <w:sz w:val="18"/>
                <w:szCs w:val="18"/>
              </w:rPr>
              <w:t>AfricaResearch in Sustainable Intensification for the Next Generation (Africa RISING) West Africa Project</w:t>
            </w:r>
            <w:bookmarkEnd w:id="0"/>
          </w:p>
        </w:tc>
      </w:tr>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center"/>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xml:space="preserve">2016-2017 work plan </w:t>
            </w:r>
          </w:p>
        </w:tc>
      </w:tr>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center"/>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Country:Ghana/Mali</w:t>
            </w:r>
          </w:p>
        </w:tc>
      </w:tr>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center"/>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Program Purpose:To provide pathways out of hunger and poverty for smallholder families through sustainably intensified farming systems that sufficiently improve food, nutrition, and income security, particularly for women and children, and conserve or enhance the natural resource base.</w:t>
            </w:r>
          </w:p>
        </w:tc>
      </w:tr>
      <w:tr w:rsidR="00285724" w:rsidRPr="00285724" w:rsidTr="0024301F">
        <w:trPr>
          <w:trHeight w:val="300"/>
        </w:trPr>
        <w:tc>
          <w:tcPr>
            <w:tcW w:w="450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i/>
                <w:iCs/>
                <w:color w:val="000000"/>
                <w:sz w:val="18"/>
                <w:szCs w:val="18"/>
              </w:rPr>
            </w:pPr>
            <w:r w:rsidRPr="00285724">
              <w:rPr>
                <w:rFonts w:ascii="Calibri" w:eastAsia="Times New Roman" w:hAnsi="Calibri" w:cs="Calibri"/>
                <w:b/>
                <w:bCs/>
                <w:i/>
                <w:iCs/>
                <w:color w:val="000000"/>
                <w:sz w:val="18"/>
                <w:szCs w:val="18"/>
              </w:rPr>
              <w:t> </w:t>
            </w:r>
          </w:p>
        </w:tc>
        <w:tc>
          <w:tcPr>
            <w:tcW w:w="2451" w:type="dxa"/>
            <w:gridSpan w:val="2"/>
            <w:vMerge w:val="restart"/>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i/>
                <w:iCs/>
                <w:color w:val="000000"/>
                <w:sz w:val="18"/>
                <w:szCs w:val="18"/>
              </w:rPr>
            </w:pPr>
            <w:r w:rsidRPr="00285724">
              <w:rPr>
                <w:rFonts w:ascii="Calibri" w:eastAsia="Times New Roman" w:hAnsi="Calibri" w:cs="Calibri"/>
                <w:b/>
                <w:bCs/>
                <w:i/>
                <w:iCs/>
                <w:color w:val="000000"/>
                <w:sz w:val="18"/>
                <w:szCs w:val="18"/>
              </w:rPr>
              <w:t>Activity leader/Agency</w:t>
            </w:r>
          </w:p>
        </w:tc>
        <w:tc>
          <w:tcPr>
            <w:tcW w:w="2280" w:type="dxa"/>
            <w:gridSpan w:val="2"/>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i/>
                <w:iCs/>
                <w:color w:val="000000"/>
                <w:sz w:val="18"/>
                <w:szCs w:val="18"/>
              </w:rPr>
            </w:pPr>
            <w:r w:rsidRPr="00285724">
              <w:rPr>
                <w:rFonts w:ascii="Calibri" w:eastAsia="Times New Roman" w:hAnsi="Calibri" w:cs="Calibri"/>
                <w:b/>
                <w:bCs/>
                <w:i/>
                <w:iCs/>
                <w:color w:val="000000"/>
                <w:sz w:val="18"/>
                <w:szCs w:val="18"/>
              </w:rPr>
              <w:t>Budget (US$)</w:t>
            </w:r>
          </w:p>
        </w:tc>
      </w:tr>
      <w:tr w:rsidR="00285724" w:rsidRPr="00285724" w:rsidTr="0024301F">
        <w:trPr>
          <w:trHeight w:val="480"/>
        </w:trPr>
        <w:tc>
          <w:tcPr>
            <w:tcW w:w="450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b/>
                <w:bCs/>
                <w:i/>
                <w:iCs/>
                <w:color w:val="000000"/>
                <w:sz w:val="18"/>
                <w:szCs w:val="18"/>
              </w:rPr>
            </w:pPr>
          </w:p>
        </w:tc>
        <w:tc>
          <w:tcPr>
            <w:tcW w:w="2451" w:type="dxa"/>
            <w:gridSpan w:val="2"/>
            <w:vMerge/>
            <w:tcBorders>
              <w:top w:val="nil"/>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b/>
                <w:bCs/>
                <w:i/>
                <w:iCs/>
                <w:color w:val="000000"/>
                <w:sz w:val="18"/>
                <w:szCs w:val="18"/>
              </w:rPr>
            </w:pPr>
          </w:p>
        </w:tc>
        <w:tc>
          <w:tcPr>
            <w:tcW w:w="1509" w:type="dxa"/>
            <w:tcBorders>
              <w:top w:val="nil"/>
              <w:left w:val="nil"/>
              <w:bottom w:val="nil"/>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Comments</w:t>
            </w:r>
          </w:p>
        </w:tc>
        <w:tc>
          <w:tcPr>
            <w:tcW w:w="771" w:type="dxa"/>
            <w:tcBorders>
              <w:top w:val="nil"/>
              <w:left w:val="nil"/>
              <w:bottom w:val="single" w:sz="4" w:space="0" w:color="auto"/>
              <w:right w:val="nil"/>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Total</w:t>
            </w:r>
          </w:p>
        </w:tc>
      </w:tr>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Outcome 1: Farmers and farming communities in the project area are practicing more productive, resilient, profitable and sustainably intensified crop-livestock systems linked to markets.</w:t>
            </w:r>
          </w:p>
        </w:tc>
      </w:tr>
      <w:tr w:rsidR="00285724" w:rsidRPr="00285724" w:rsidTr="0024301F">
        <w:trPr>
          <w:trHeight w:val="300"/>
        </w:trPr>
        <w:tc>
          <w:tcPr>
            <w:tcW w:w="9236" w:type="dxa"/>
            <w:gridSpan w:val="6"/>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Output 1: Research products for more productive, intensive, diverse, profitable and resilient crop (cereals, legumes, vegetables); livestock (sheep, goats, cattle, poultry and pigs) and integrated crop-livestock farming systems are identified and disseminated to farmers through development partners in the  intervention communities.</w:t>
            </w:r>
          </w:p>
        </w:tc>
      </w:tr>
      <w:tr w:rsidR="00285724" w:rsidRPr="00285724" w:rsidTr="0024301F">
        <w:trPr>
          <w:trHeight w:val="390"/>
        </w:trPr>
        <w:tc>
          <w:tcPr>
            <w:tcW w:w="9236" w:type="dxa"/>
            <w:gridSpan w:val="6"/>
            <w:tcBorders>
              <w:top w:val="single" w:sz="4" w:space="0" w:color="auto"/>
              <w:left w:val="single" w:sz="4" w:space="0" w:color="auto"/>
              <w:bottom w:val="nil"/>
              <w:right w:val="nil"/>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Test a combination of climate-smart crop varieties and agronomic practices to increase and sustain food and feed production.</w:t>
            </w:r>
          </w:p>
        </w:tc>
      </w:tr>
      <w:tr w:rsidR="00285724" w:rsidRPr="00285724" w:rsidTr="0024301F">
        <w:trPr>
          <w:trHeight w:val="199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jc w:val="center"/>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1</w:t>
            </w:r>
          </w:p>
        </w:tc>
        <w:tc>
          <w:tcPr>
            <w:tcW w:w="4840" w:type="dxa"/>
            <w:gridSpan w:val="2"/>
            <w:tcBorders>
              <w:top w:val="single" w:sz="4" w:space="0" w:color="auto"/>
              <w:left w:val="nil"/>
              <w:bottom w:val="single" w:sz="4" w:space="0" w:color="auto"/>
              <w:right w:val="single" w:sz="4" w:space="0" w:color="auto"/>
            </w:tcBorders>
            <w:shd w:val="clear" w:color="auto" w:fill="auto"/>
            <w:hideMark/>
          </w:tcPr>
          <w:p w:rsidR="0024301F"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1.1: Evaluate and promote dry season vegetable varieties (tomato, pepper, Eggplant and onion), with optimized integrated and profitable crop management practices from field to storage and consumption (use of optimized fertilizer, irrigation options under zero energy and ecological storage facilities (use of Zero Cooling Energy chambers for fresh fruit and leafy vegetables  and zero energy and ecological onion cribs that preserve product quality)</w:t>
            </w:r>
          </w:p>
          <w:p w:rsidR="0024301F" w:rsidRDefault="0024301F" w:rsidP="00285724">
            <w:pPr>
              <w:spacing w:after="0" w:line="240" w:lineRule="auto"/>
              <w:rPr>
                <w:rFonts w:ascii="Calibri" w:eastAsia="Times New Roman" w:hAnsi="Calibri" w:cs="Calibri"/>
                <w:color w:val="000000"/>
                <w:sz w:val="18"/>
                <w:szCs w:val="18"/>
              </w:rPr>
            </w:pPr>
          </w:p>
          <w:p w:rsidR="00285724" w:rsidRPr="00285724" w:rsidRDefault="0024301F" w:rsidP="0024301F">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Combine sub-activities activities 7 and 31 with this sub-activity.  Link with nutrition activities i.e. sub-activities 19 and 20.</w:t>
            </w:r>
          </w:p>
        </w:tc>
        <w:tc>
          <w:tcPr>
            <w:tcW w:w="1576"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Jean-Baptiste Tignegre/ Wolrdveg</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4301F">
            <w:pPr>
              <w:spacing w:after="0" w:line="240" w:lineRule="auto"/>
              <w:rPr>
                <w:rFonts w:ascii="Calibri" w:eastAsia="Times New Roman" w:hAnsi="Calibri" w:cs="Calibri"/>
                <w:color w:val="0000CC"/>
                <w:sz w:val="18"/>
                <w:szCs w:val="18"/>
              </w:rPr>
            </w:pP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w:t>
            </w:r>
          </w:p>
        </w:tc>
        <w:tc>
          <w:tcPr>
            <w:tcW w:w="4840" w:type="dxa"/>
            <w:gridSpan w:val="2"/>
            <w:tcBorders>
              <w:top w:val="nil"/>
              <w:left w:val="nil"/>
              <w:bottom w:val="single" w:sz="4" w:space="0" w:color="auto"/>
              <w:right w:val="single" w:sz="4" w:space="0" w:color="auto"/>
            </w:tcBorders>
            <w:shd w:val="clear" w:color="auto" w:fill="auto"/>
            <w:hideMark/>
          </w:tcPr>
          <w:p w:rsidR="0024301F"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1.2: Evaluating effect of different fertilizer sources and treament on the productivity of sorghum in the Soudanain zone of southern Mali</w:t>
            </w:r>
            <w:r w:rsidR="0024301F">
              <w:rPr>
                <w:rFonts w:ascii="Calibri" w:eastAsia="Times New Roman" w:hAnsi="Calibri" w:cs="Calibri"/>
                <w:color w:val="000000"/>
                <w:sz w:val="18"/>
                <w:szCs w:val="18"/>
              </w:rPr>
              <w:t xml:space="preserve">. </w:t>
            </w:r>
          </w:p>
          <w:p w:rsidR="0024301F" w:rsidRDefault="0024301F" w:rsidP="00285724">
            <w:pPr>
              <w:spacing w:after="0" w:line="240" w:lineRule="auto"/>
              <w:rPr>
                <w:rFonts w:ascii="Calibri" w:eastAsia="Times New Roman" w:hAnsi="Calibri" w:cs="Calibri"/>
                <w:color w:val="000000"/>
                <w:sz w:val="18"/>
                <w:szCs w:val="18"/>
              </w:rPr>
            </w:pPr>
          </w:p>
          <w:p w:rsidR="00285724" w:rsidRPr="00285724" w:rsidRDefault="0024301F" w:rsidP="0024301F">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Combine with sub-activity 15. Need to be sure to use more farmer-participatory approaches; and strengthen the agronomic component of the work in Mali</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Akinseye Folorunso/ICRISAT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lastRenderedPageBreak/>
              <w:t>3</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1.3: Use CCAFS’ CSV approach to mainstream climate variability in the promotion and dissemination of integrated crop-livestock-soil systems for sustained productivity and reduced risk in Mali</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Mathieu Ouedraogo/CCAFS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center"/>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 xml:space="preserve">Activity 2: Test and disseminate a combination of improved breeds, housing, feeding, health and breeding practices to intensify rearing of livestock (sheep, goat, pig, and poultry) for meat, egg and milk production.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4</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2.1: Feed-health interventions for improved small ruminant production</w:t>
            </w:r>
          </w:p>
          <w:p w:rsidR="0024301F" w:rsidRDefault="0024301F" w:rsidP="00285724">
            <w:pPr>
              <w:spacing w:after="0" w:line="240" w:lineRule="auto"/>
              <w:rPr>
                <w:rFonts w:ascii="Calibri" w:eastAsia="Times New Roman" w:hAnsi="Calibri" w:cs="Calibri"/>
                <w:color w:val="000000"/>
                <w:sz w:val="18"/>
                <w:szCs w:val="18"/>
              </w:rPr>
            </w:pPr>
          </w:p>
          <w:p w:rsidR="0024301F" w:rsidRPr="00285724" w:rsidRDefault="0024301F"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I suggest</w:t>
            </w:r>
            <w:r w:rsidR="00936EAE">
              <w:rPr>
                <w:rFonts w:ascii="Calibri" w:eastAsia="Times New Roman" w:hAnsi="Calibri" w:cs="Calibri"/>
                <w:color w:val="0000CC"/>
                <w:sz w:val="18"/>
                <w:szCs w:val="18"/>
              </w:rPr>
              <w:t xml:space="preserve"> this sub-activity is combined with sub-activities 5,6 and 34 under the leadership of ILRI with IER as a partner. Ensure the livestock activities are linked with the crop and nutrition activities and activities are farmer-participatory.</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Augustine Ayantunde/ILRI</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60000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5</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2.2: Test and disseminate poor forage upgrading technics for better feeding livestock during the dry season</w:t>
            </w:r>
          </w:p>
          <w:p w:rsidR="00936EAE" w:rsidRDefault="00936EAE" w:rsidP="00285724">
            <w:pPr>
              <w:spacing w:after="0" w:line="240" w:lineRule="auto"/>
              <w:rPr>
                <w:rFonts w:ascii="Calibri" w:eastAsia="Times New Roman" w:hAnsi="Calibri" w:cs="Calibri"/>
                <w:color w:val="000000"/>
                <w:sz w:val="18"/>
                <w:szCs w:val="18"/>
              </w:rPr>
            </w:pPr>
          </w:p>
          <w:p w:rsidR="00936EAE" w:rsidRPr="00285724" w:rsidRDefault="00936EAE"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See my comments above - No. 4</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Hamidou Nantoume/IER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6</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2.3: Sheep fattening to reduce poverty and food insecurity for women farmers</w:t>
            </w:r>
            <w:r w:rsidR="00936EAE">
              <w:rPr>
                <w:rFonts w:ascii="Calibri" w:eastAsia="Times New Roman" w:hAnsi="Calibri" w:cs="Calibri"/>
                <w:color w:val="000000"/>
                <w:sz w:val="18"/>
                <w:szCs w:val="18"/>
              </w:rPr>
              <w:t xml:space="preserve"> -</w:t>
            </w:r>
            <w:r w:rsidR="00936EAE">
              <w:rPr>
                <w:rFonts w:ascii="Calibri" w:eastAsia="Times New Roman" w:hAnsi="Calibri" w:cs="Calibri"/>
                <w:color w:val="0000CC"/>
                <w:sz w:val="18"/>
                <w:szCs w:val="18"/>
              </w:rPr>
              <w:t xml:space="preserve"> combine with 4, and 5</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Hamidou Nantoume/IER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 xml:space="preserve">Activity 3: Test and disseminate integrated crop-livestock-soil systems to increase and sustain productivity and reduce risk.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7</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3.1: Effect of typologies  (gender, soil position, mechanization level, market orientation and wealth) on production and adoption of rainy season vegetable and maize intercropping  systems</w:t>
            </w:r>
            <w:r w:rsidR="00D12873">
              <w:rPr>
                <w:rFonts w:ascii="Calibri" w:eastAsia="Times New Roman" w:hAnsi="Calibri" w:cs="Calibri"/>
                <w:color w:val="000000"/>
                <w:sz w:val="18"/>
                <w:szCs w:val="18"/>
              </w:rPr>
              <w:t>.</w:t>
            </w:r>
          </w:p>
          <w:p w:rsidR="00936EAE" w:rsidRPr="00285724" w:rsidRDefault="00D12873" w:rsidP="00D12873">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This was conducted in Phase 1. Data has not been published. We should concentrate on publication of the data rather than starting a new activity.</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Jean-Baptiste Tignegre/ Wolrdveg</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540" w:type="dxa"/>
            <w:tcBorders>
              <w:top w:val="nil"/>
              <w:left w:val="single" w:sz="4" w:space="0" w:color="auto"/>
              <w:bottom w:val="nil"/>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lastRenderedPageBreak/>
              <w:t>8</w:t>
            </w:r>
          </w:p>
        </w:tc>
        <w:tc>
          <w:tcPr>
            <w:tcW w:w="4840" w:type="dxa"/>
            <w:gridSpan w:val="2"/>
            <w:tcBorders>
              <w:top w:val="nil"/>
              <w:left w:val="nil"/>
              <w:bottom w:val="nil"/>
              <w:right w:val="single" w:sz="4" w:space="0" w:color="auto"/>
            </w:tcBorders>
            <w:shd w:val="clear" w:color="auto" w:fill="auto"/>
            <w:hideMark/>
          </w:tcPr>
          <w:p w:rsidR="00285724" w:rsidRPr="00285724" w:rsidRDefault="00285724" w:rsidP="00936EAE">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3.2: Evaluating the link between land ownership, farming systems,land and soil-water conservation using IFPRI surveyed data</w:t>
            </w:r>
            <w:r w:rsidR="00936EAE">
              <w:rPr>
                <w:rFonts w:ascii="Calibri" w:eastAsia="Times New Roman" w:hAnsi="Calibri" w:cs="Calibri"/>
                <w:color w:val="0000CC"/>
                <w:sz w:val="18"/>
                <w:szCs w:val="18"/>
              </w:rPr>
              <w:t xml:space="preserve"> -combine with sub-activity 14 (see comments on sub-activity 14)</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Moussa Sankara/ICRISAT</w:t>
            </w:r>
          </w:p>
        </w:tc>
        <w:tc>
          <w:tcPr>
            <w:tcW w:w="1509" w:type="dxa"/>
            <w:tcBorders>
              <w:top w:val="single" w:sz="4" w:space="0" w:color="auto"/>
              <w:left w:val="nil"/>
              <w:bottom w:val="single" w:sz="4" w:space="0" w:color="auto"/>
              <w:right w:val="nil"/>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nil"/>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9</w:t>
            </w:r>
          </w:p>
        </w:tc>
        <w:tc>
          <w:tcPr>
            <w:tcW w:w="4840" w:type="dxa"/>
            <w:gridSpan w:val="2"/>
            <w:tcBorders>
              <w:top w:val="single" w:sz="4" w:space="0" w:color="auto"/>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3.3: Multi-criteria assessment and trade-off analysis of tested options at farm level, leading to options that are tailored to farmer contexts.</w:t>
            </w:r>
          </w:p>
          <w:p w:rsidR="00936EAE" w:rsidRDefault="00936EAE" w:rsidP="00285724">
            <w:pPr>
              <w:spacing w:after="0" w:line="240" w:lineRule="auto"/>
              <w:rPr>
                <w:rFonts w:ascii="Calibri" w:eastAsia="Times New Roman" w:hAnsi="Calibri" w:cs="Calibri"/>
                <w:color w:val="000000"/>
                <w:sz w:val="18"/>
                <w:szCs w:val="18"/>
              </w:rPr>
            </w:pPr>
          </w:p>
          <w:p w:rsidR="00936EAE" w:rsidRPr="00285724" w:rsidRDefault="00936EAE"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Consider joining with sub-activity 29.</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Katrien Descheemaeker / WUR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 xml:space="preserve">Activity 4: Evaluate and disseminate agroforestry systems to increase and sustain productivity and reduce risk.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4.1:  Improving crop livestock productivity and household income through the use of contour bunding and agroforestry options</w:t>
            </w:r>
            <w:r w:rsidR="00936EAE">
              <w:rPr>
                <w:rFonts w:ascii="Calibri" w:eastAsia="Times New Roman" w:hAnsi="Calibri" w:cs="Calibri"/>
                <w:color w:val="000000"/>
                <w:sz w:val="18"/>
                <w:szCs w:val="18"/>
              </w:rPr>
              <w:t xml:space="preserve"> -</w:t>
            </w:r>
            <w:r w:rsidR="00936EAE">
              <w:rPr>
                <w:rFonts w:ascii="Calibri" w:eastAsia="Times New Roman" w:hAnsi="Calibri" w:cs="Calibri"/>
                <w:color w:val="0000CC"/>
                <w:sz w:val="18"/>
                <w:szCs w:val="18"/>
              </w:rPr>
              <w:t xml:space="preserve"> see comments on sub-activity 14</w:t>
            </w:r>
            <w:r w:rsidR="00D12873">
              <w:rPr>
                <w:rFonts w:ascii="Calibri" w:eastAsia="Times New Roman" w:hAnsi="Calibri" w:cs="Calibri"/>
                <w:color w:val="0000CC"/>
                <w:sz w:val="18"/>
                <w:szCs w:val="18"/>
              </w:rPr>
              <w:t>. What is the status of the data from phase 1? We should focus on publication of the data from phase 1.</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Kalifa Traore/IER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11</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4.2: Consolidating existing platforms, concurrently leding multi stakeholder platform meetings at village level, and lead the orhganization of farmer to farmer exchage vistis </w:t>
            </w:r>
          </w:p>
          <w:p w:rsidR="00936EAE" w:rsidRDefault="00936EAE" w:rsidP="00285724">
            <w:pPr>
              <w:spacing w:after="0" w:line="240" w:lineRule="auto"/>
              <w:rPr>
                <w:rFonts w:ascii="Calibri" w:eastAsia="Times New Roman" w:hAnsi="Calibri" w:cs="Calibri"/>
                <w:color w:val="000000"/>
                <w:sz w:val="18"/>
                <w:szCs w:val="18"/>
              </w:rPr>
            </w:pPr>
          </w:p>
          <w:p w:rsidR="00CF2368" w:rsidRDefault="00CF2368"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It is not clear how the sub-activities (11, 16, 17, 18, 21,25, 26, 32,33) lead by AMEDD are research related.  Perhaps these sub-activities should be absorbed under the research-related sub-activities with AMEED as partner. That way, more funds will be released for research.</w:t>
            </w:r>
          </w:p>
          <w:p w:rsidR="00CF2368" w:rsidRDefault="00CF2368" w:rsidP="00285724">
            <w:pPr>
              <w:spacing w:after="0" w:line="240" w:lineRule="auto"/>
              <w:rPr>
                <w:rFonts w:ascii="Calibri" w:eastAsia="Times New Roman" w:hAnsi="Calibri" w:cs="Calibri"/>
                <w:color w:val="0000CC"/>
                <w:sz w:val="18"/>
                <w:szCs w:val="18"/>
              </w:rPr>
            </w:pPr>
          </w:p>
          <w:p w:rsidR="00936EAE" w:rsidRPr="00936EAE" w:rsidRDefault="00CF2368"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I suggest that AMEED is encouraged to put develop a proposal for scaling proven technologies to be implemented under outcome 4.</w:t>
            </w:r>
          </w:p>
          <w:p w:rsidR="00936EAE" w:rsidRPr="00285724" w:rsidRDefault="00936EAE" w:rsidP="00285724">
            <w:pPr>
              <w:spacing w:after="0" w:line="240" w:lineRule="auto"/>
              <w:rPr>
                <w:rFonts w:ascii="Calibri" w:eastAsia="Times New Roman" w:hAnsi="Calibri" w:cs="Calibri"/>
                <w:color w:val="000000"/>
                <w:sz w:val="18"/>
                <w:szCs w:val="18"/>
              </w:rPr>
            </w:pP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2: : Integrated management technologies and practices to improve and sustain productivity and ecosystems services of the soil, land, water and vegetation resources are developed and disseminated with farmers and development partners in the intervention communities.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lastRenderedPageBreak/>
              <w:t>Activity 1: Test and disseminate land, soil and integrated land-soil technologies and practices to improve and sustain productivity and ecosystems services at the farm and landscape/watershed levels.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12</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 activity 1.1: Measurement of runoff, erosion, soil water content,water table and vegetation from field to watershed scale under different landuse and land management practices</w:t>
            </w:r>
          </w:p>
          <w:p w:rsidR="00CF2368" w:rsidRDefault="00CF2368" w:rsidP="00285724">
            <w:pPr>
              <w:spacing w:after="0" w:line="240" w:lineRule="auto"/>
              <w:rPr>
                <w:rFonts w:ascii="Calibri" w:eastAsia="Times New Roman" w:hAnsi="Calibri" w:cs="Calibri"/>
                <w:color w:val="000000"/>
                <w:sz w:val="18"/>
                <w:szCs w:val="18"/>
              </w:rPr>
            </w:pPr>
          </w:p>
          <w:p w:rsidR="00CF2368" w:rsidRPr="00285724" w:rsidRDefault="00CF2368" w:rsidP="00285724">
            <w:pPr>
              <w:spacing w:after="0" w:line="240" w:lineRule="auto"/>
              <w:rPr>
                <w:rFonts w:ascii="Calibri" w:eastAsia="Times New Roman" w:hAnsi="Calibri" w:cs="Calibri"/>
                <w:color w:val="000000"/>
                <w:sz w:val="18"/>
                <w:szCs w:val="18"/>
              </w:rPr>
            </w:pPr>
            <w:r>
              <w:rPr>
                <w:rFonts w:ascii="Calibri" w:eastAsia="Times New Roman" w:hAnsi="Calibri" w:cs="Calibri"/>
                <w:color w:val="0000CC"/>
                <w:sz w:val="18"/>
                <w:szCs w:val="18"/>
              </w:rPr>
              <w:t>see comments on sub-activity 14</w:t>
            </w:r>
            <w:r w:rsidR="00D12873">
              <w:rPr>
                <w:rFonts w:ascii="Calibri" w:eastAsia="Times New Roman" w:hAnsi="Calibri" w:cs="Calibri"/>
                <w:color w:val="0000CC"/>
                <w:sz w:val="18"/>
                <w:szCs w:val="18"/>
              </w:rPr>
              <w:t>. What are the plans for publishing the data from phase 1?</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Kalifa Traore/IER, Birhanu Zemadim/ICRISAT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35000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13</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1.2. Evaluate community perception (gender disaggregated) on-farm level in-field soil and water conservation interventions, and test ways to promote wider adoption</w:t>
            </w:r>
          </w:p>
          <w:p w:rsidR="00CF2368" w:rsidRPr="00285724" w:rsidRDefault="00CF2368" w:rsidP="00285724">
            <w:pPr>
              <w:spacing w:after="0" w:line="240" w:lineRule="auto"/>
              <w:rPr>
                <w:rFonts w:ascii="Calibri" w:eastAsia="Times New Roman" w:hAnsi="Calibri" w:cs="Calibri"/>
                <w:color w:val="000000"/>
                <w:sz w:val="18"/>
                <w:szCs w:val="18"/>
              </w:rPr>
            </w:pPr>
            <w:r>
              <w:rPr>
                <w:rFonts w:ascii="Calibri" w:eastAsia="Times New Roman" w:hAnsi="Calibri" w:cs="Calibri"/>
                <w:color w:val="0000CC"/>
                <w:sz w:val="18"/>
                <w:szCs w:val="18"/>
              </w:rPr>
              <w:t>see comments on sub-activity 14</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Moussa Sankara/ICRISAT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14</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1.3. Investigate the impact of land management practices over time on the productivity and economic benefits on cereal crops (sorghum, millet and maize) in different agro-ecologies</w:t>
            </w:r>
          </w:p>
          <w:p w:rsidR="00936EAE" w:rsidRDefault="00936EAE"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Sub-activities 10, 12,8 13 and 14 should be part of this sub-activity. Under the leadership of ICRISAT with IER as partner</w:t>
            </w:r>
            <w:r w:rsidR="00CF2368">
              <w:rPr>
                <w:rFonts w:ascii="Calibri" w:eastAsia="Times New Roman" w:hAnsi="Calibri" w:cs="Calibri"/>
                <w:color w:val="0000CC"/>
                <w:sz w:val="18"/>
                <w:szCs w:val="18"/>
              </w:rPr>
              <w:t>.</w:t>
            </w:r>
          </w:p>
          <w:p w:rsidR="00CF2368" w:rsidRDefault="00CF2368" w:rsidP="00285724">
            <w:pPr>
              <w:spacing w:after="0" w:line="240" w:lineRule="auto"/>
              <w:rPr>
                <w:rFonts w:ascii="Calibri" w:eastAsia="Times New Roman" w:hAnsi="Calibri" w:cs="Calibri"/>
                <w:color w:val="0000CC"/>
                <w:sz w:val="18"/>
                <w:szCs w:val="18"/>
              </w:rPr>
            </w:pPr>
          </w:p>
          <w:p w:rsidR="00CF2368" w:rsidRPr="00936EAE" w:rsidRDefault="00CF2368"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The land management and soil and water related research should relate to the agronomic research (sub-activities 1 and 2 and 15).</w:t>
            </w:r>
          </w:p>
          <w:p w:rsidR="00936EAE" w:rsidRPr="00285724" w:rsidRDefault="00D12873" w:rsidP="0028572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What are the plans for publishing the data from phase 1</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Birhanu Zemadim, Mahamadou Dicko and Karamoko Traore/ICRISAT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35000</w:t>
            </w:r>
          </w:p>
        </w:tc>
      </w:tr>
      <w:tr w:rsidR="00285724" w:rsidRPr="00285724" w:rsidTr="0024301F">
        <w:trPr>
          <w:trHeight w:val="1002"/>
        </w:trPr>
        <w:tc>
          <w:tcPr>
            <w:tcW w:w="540" w:type="dxa"/>
            <w:tcBorders>
              <w:top w:val="nil"/>
              <w:left w:val="single" w:sz="4" w:space="0" w:color="auto"/>
              <w:bottom w:val="nil"/>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15</w:t>
            </w:r>
          </w:p>
        </w:tc>
        <w:tc>
          <w:tcPr>
            <w:tcW w:w="4840" w:type="dxa"/>
            <w:gridSpan w:val="2"/>
            <w:tcBorders>
              <w:top w:val="nil"/>
              <w:left w:val="nil"/>
              <w:bottom w:val="nil"/>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1.4:  Improving compost production for soil fertility management under inter cropping cereal-legume system in southern Mal</w:t>
            </w:r>
          </w:p>
        </w:tc>
        <w:tc>
          <w:tcPr>
            <w:tcW w:w="1576" w:type="dxa"/>
            <w:tcBorders>
              <w:top w:val="nil"/>
              <w:left w:val="single" w:sz="4" w:space="0" w:color="auto"/>
              <w:bottom w:val="nil"/>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Bouba Traore/ICRISAT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jc w:val="right"/>
              <w:rPr>
                <w:rFonts w:ascii="Calibri" w:eastAsia="Times New Roman" w:hAnsi="Calibri" w:cs="Calibri"/>
                <w:color w:val="000000"/>
              </w:rPr>
            </w:pPr>
            <w:r w:rsidRPr="00285724">
              <w:rPr>
                <w:rFonts w:ascii="Calibri" w:eastAsia="Times New Roman" w:hAnsi="Calibri" w:cs="Calibri"/>
                <w:color w:val="000000"/>
              </w:rPr>
              <w:t>16</w:t>
            </w:r>
          </w:p>
        </w:tc>
        <w:tc>
          <w:tcPr>
            <w:tcW w:w="4840" w:type="dxa"/>
            <w:gridSpan w:val="2"/>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1.5: Dissemination of sustainable natural resources management technologies implemented as technological packages (contour bunding, agroforestery options etc.) in the districts of Sikasso, Koutiala, Bougouni, Yorosso (10’000 farmers to reach per year)</w:t>
            </w:r>
            <w:r w:rsidR="00CF2368">
              <w:rPr>
                <w:rFonts w:ascii="Calibri" w:eastAsia="Times New Roman" w:hAnsi="Calibri" w:cs="Calibri"/>
                <w:color w:val="000000"/>
                <w:sz w:val="18"/>
                <w:szCs w:val="18"/>
              </w:rPr>
              <w:t xml:space="preserve"> </w:t>
            </w:r>
            <w:r w:rsidR="00CF2368">
              <w:rPr>
                <w:rFonts w:ascii="Calibri" w:eastAsia="Times New Roman" w:hAnsi="Calibri" w:cs="Calibri"/>
                <w:color w:val="0000CC"/>
                <w:sz w:val="18"/>
                <w:szCs w:val="18"/>
              </w:rPr>
              <w:t>- see comments on sub-activity 11</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r w:rsidRPr="00285724">
              <w:rPr>
                <w:rFonts w:ascii="Calibri" w:eastAsia="Times New Roman" w:hAnsi="Calibri" w:cs="Calibri"/>
                <w:color w:val="000000"/>
              </w:rPr>
              <w:t> </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r w:rsidRPr="00285724">
              <w:rPr>
                <w:rFonts w:ascii="Calibri" w:eastAsia="Times New Roman" w:hAnsi="Calibri" w:cs="Calibri"/>
                <w:color w:val="000000"/>
              </w:rPr>
              <w:t> </w:t>
            </w:r>
          </w:p>
        </w:tc>
      </w:tr>
      <w:tr w:rsidR="00285724" w:rsidRPr="00285724" w:rsidTr="0024301F">
        <w:trPr>
          <w:trHeight w:val="1002"/>
        </w:trPr>
        <w:tc>
          <w:tcPr>
            <w:tcW w:w="6956" w:type="dxa"/>
            <w:gridSpan w:val="4"/>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lastRenderedPageBreak/>
              <w:t>Activity 2: Test and promote water management technologies and practices to increase water productivity in the small-scale crop-livestock farming systems under rainfed and irrigated conditions.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17</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2.1: Promote the use of both vegetables and agroforestry species (tomato, aubergine, okra, tamarind, baobab, moringa) </w:t>
            </w:r>
            <w:r w:rsidR="00B92974">
              <w:rPr>
                <w:rFonts w:ascii="Calibri" w:eastAsia="Times New Roman" w:hAnsi="Calibri" w:cs="Calibri"/>
                <w:color w:val="0000CC"/>
                <w:sz w:val="18"/>
                <w:szCs w:val="18"/>
              </w:rPr>
              <w:t>-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b/>
                <w:color w:val="000000"/>
                <w:sz w:val="18"/>
                <w:szCs w:val="18"/>
              </w:rPr>
              <w:t>Activity 3: Test and promote integrated soil fertility and integrated pest management  technologies and practices to increase and sustain productivity and reduce risk</w:t>
            </w:r>
            <w:r w:rsidRPr="00285724">
              <w:rPr>
                <w:rFonts w:ascii="Calibri" w:eastAsia="Times New Roman" w:hAnsi="Calibri" w:cs="Calibri"/>
                <w:color w:val="000000"/>
                <w:sz w:val="18"/>
                <w:szCs w:val="18"/>
              </w:rPr>
              <w: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18</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3.1: Organization of nutritional clusters in connection with community health centres and rural communes</w:t>
            </w:r>
            <w:r w:rsidR="00B92974">
              <w:rPr>
                <w:rFonts w:ascii="Calibri" w:eastAsia="Times New Roman" w:hAnsi="Calibri" w:cs="Calibri"/>
                <w:color w:val="0000CC"/>
                <w:sz w:val="18"/>
                <w:szCs w:val="18"/>
              </w:rPr>
              <w:t>- see comments on sub-activity 11.  The nutritional clusters should be linked with the crop and livestock activities.</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3: Labor-saving and gender-sensitive technologies in target areas to reduce drudgery while increasing labor efficiency in the production cycle delivered.</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Support local partners through training on appropriate drudgery-reducing technology delivery.</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1.1: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1.2: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lastRenderedPageBreak/>
              <w:t>Activity 2: Introduce, test and adapt existing pre-harvest and post-harvest small-scale mechanization options.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sz w:val="18"/>
                <w:szCs w:val="18"/>
              </w:rPr>
            </w:pPr>
            <w:r w:rsidRPr="00285724">
              <w:rPr>
                <w:rFonts w:ascii="Calibri" w:eastAsia="Times New Roman" w:hAnsi="Calibri" w:cs="Calibri"/>
                <w:sz w:val="18"/>
                <w:szCs w:val="18"/>
              </w:rPr>
              <w:t xml:space="preserve">Sub-activity 2.1: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2.2: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Outcome 2: More farmers and farm families in the intervention communities are adopting technologies and practices to improve nutrition, food and feed safety, post-harvest handling and value addition.</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1: Improved technologies,  practices and habits to increase production and consumption of diverse and more nutritious food by farm families, especially by women and children are developed.</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Develop a nutrition strategy to harmonize the nutrition activities national nutrition approaches and link them to the crop and livestock activities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19</w:t>
            </w:r>
          </w:p>
        </w:tc>
        <w:tc>
          <w:tcPr>
            <w:tcW w:w="4840" w:type="dxa"/>
            <w:gridSpan w:val="2"/>
            <w:tcBorders>
              <w:top w:val="nil"/>
              <w:left w:val="nil"/>
              <w:bottom w:val="single" w:sz="4" w:space="0" w:color="auto"/>
              <w:right w:val="single" w:sz="4" w:space="0" w:color="auto"/>
            </w:tcBorders>
            <w:shd w:val="clear" w:color="auto" w:fill="auto"/>
            <w:hideMark/>
          </w:tcPr>
          <w:p w:rsid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1.1: Improve food and nutrition security of target household through integrated agriculture and nutrition activities</w:t>
            </w:r>
            <w:r w:rsidR="00B92974">
              <w:rPr>
                <w:rFonts w:ascii="Calibri" w:eastAsia="Times New Roman" w:hAnsi="Calibri" w:cs="Calibri"/>
                <w:color w:val="000000"/>
                <w:sz w:val="18"/>
                <w:szCs w:val="18"/>
              </w:rPr>
              <w:t xml:space="preserve"> - </w:t>
            </w:r>
            <w:r w:rsidR="00B92974">
              <w:rPr>
                <w:rFonts w:ascii="Calibri" w:eastAsia="Times New Roman" w:hAnsi="Calibri" w:cs="Calibri"/>
                <w:color w:val="0000CC"/>
                <w:sz w:val="18"/>
                <w:szCs w:val="18"/>
              </w:rPr>
              <w:t xml:space="preserve">The integrated agriculture and nutrition activities should be part of the cereal, legume vegetable activities; meaning that the nutrition research should be integrated into the crop and livestock activities. </w:t>
            </w:r>
          </w:p>
          <w:p w:rsidR="00B92974" w:rsidRDefault="00B92974" w:rsidP="00285724">
            <w:pPr>
              <w:spacing w:after="0" w:line="240" w:lineRule="auto"/>
              <w:rPr>
                <w:rFonts w:ascii="Calibri" w:eastAsia="Times New Roman" w:hAnsi="Calibri" w:cs="Calibri"/>
                <w:color w:val="0000CC"/>
                <w:sz w:val="18"/>
                <w:szCs w:val="18"/>
              </w:rPr>
            </w:pPr>
          </w:p>
          <w:p w:rsidR="00B92974" w:rsidRDefault="00B92974" w:rsidP="00B9297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t>The external evaluation team recommended that the nutrition research should be used as a forum to involve young women. How is this factored into the planning of research?</w:t>
            </w:r>
          </w:p>
          <w:p w:rsidR="00D12873" w:rsidRDefault="00D12873" w:rsidP="00B92974">
            <w:pPr>
              <w:spacing w:after="0" w:line="240" w:lineRule="auto"/>
              <w:rPr>
                <w:rFonts w:ascii="Calibri" w:eastAsia="Times New Roman" w:hAnsi="Calibri" w:cs="Calibri"/>
                <w:color w:val="0000CC"/>
                <w:sz w:val="18"/>
                <w:szCs w:val="18"/>
              </w:rPr>
            </w:pPr>
          </w:p>
          <w:p w:rsidR="00D12873" w:rsidRPr="00285724" w:rsidRDefault="00D12873" w:rsidP="00B92974">
            <w:pPr>
              <w:spacing w:after="0" w:line="240" w:lineRule="auto"/>
              <w:rPr>
                <w:rFonts w:ascii="Calibri" w:eastAsia="Times New Roman" w:hAnsi="Calibri" w:cs="Calibri"/>
                <w:color w:val="0000CC"/>
                <w:sz w:val="18"/>
                <w:szCs w:val="18"/>
              </w:rPr>
            </w:pPr>
            <w:r>
              <w:rPr>
                <w:rFonts w:ascii="Calibri" w:eastAsia="Times New Roman" w:hAnsi="Calibri" w:cs="Calibri"/>
                <w:color w:val="0000CC"/>
                <w:sz w:val="18"/>
                <w:szCs w:val="18"/>
              </w:rPr>
              <w:lastRenderedPageBreak/>
              <w:t>What is the progress on publishing the data from phase 1?</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lastRenderedPageBreak/>
              <w:t>Caroline/ World Vegetable Centre</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2: Build capacity of farm families, especially women to produce and consume diverse and more nutritious food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B9297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2.1: Strenghten capacity of local communities to prevent and address malnutrition though communication for social and behavior change</w:t>
            </w:r>
            <w:r w:rsidR="00B92974">
              <w:rPr>
                <w:rFonts w:ascii="Calibri" w:eastAsia="Times New Roman" w:hAnsi="Calibri" w:cs="Calibri"/>
                <w:color w:val="000000"/>
                <w:sz w:val="18"/>
                <w:szCs w:val="18"/>
              </w:rPr>
              <w:t xml:space="preserve">. </w:t>
            </w:r>
            <w:r w:rsidR="00B92974">
              <w:rPr>
                <w:rFonts w:ascii="Calibri" w:eastAsia="Times New Roman" w:hAnsi="Calibri" w:cs="Calibri"/>
                <w:color w:val="0000CC"/>
                <w:sz w:val="18"/>
                <w:szCs w:val="18"/>
              </w:rPr>
              <w:t>This is a cross-cutting activity - should be incorporated into the crop, livestock and vegetable activities. The nutrition research should not stand alone if we are talking of nutrition sensitive agriculture.</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Caroline/ World Vegetable Centre</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3: Use nutrition focused activities as an entry point for greater involvement of younger women and the youth</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21</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3.1: Organization of nutritional clusters in connection with community health centres and rural communes</w:t>
            </w:r>
            <w:r w:rsidR="00B92974">
              <w:rPr>
                <w:rFonts w:ascii="Calibri" w:eastAsia="Times New Roman" w:hAnsi="Calibri" w:cs="Calibri"/>
                <w:color w:val="0000CC"/>
                <w:sz w:val="18"/>
                <w:szCs w:val="18"/>
              </w:rPr>
              <w:t>-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2: Postharvest technologies and practices are tested and disseminated to farmers and other partners to reduce postharvest losses</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Introduce, evaluate, adapt and disseminate existing postharvest technologies and practices.</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22</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1.1: Establish an inventory on the existing postharvest modules to include postharvest handling, processing, conservation, and marketing.</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Diallo Fatimata Cisse, LTA/IER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lastRenderedPageBreak/>
              <w:t>23</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1.2: Develop and disseminate an image based tool kit on the existing postharvest technologies in French and Bambara which will be used by trainers</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Diallo Fatimata Cisse, LTA/IER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24</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1.3: Test the performance of 2 types of drying kits for crops, animal products, fruits and vegetables in the project intervention sites.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Diallo Fatimata Cisse, LTA/IER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2: Build capacity of farm families to reduce postharvest losses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25</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2.1: Make access to post harvest services and resources to rural households easier through organizing value chains and building of business relationship (20 services centres supported,  15 cooperatives and 5 private aggregation centres)</w:t>
            </w:r>
            <w:r w:rsidR="00B92974">
              <w:rPr>
                <w:rFonts w:ascii="Calibri" w:eastAsia="Times New Roman" w:hAnsi="Calibri" w:cs="Calibri"/>
                <w:color w:val="0000CC"/>
                <w:sz w:val="18"/>
                <w:szCs w:val="18"/>
              </w:rPr>
              <w:t xml:space="preserve"> -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26</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2.2: Train farmers in cooperatives principles, contracting and post-harvest handling and quality management</w:t>
            </w:r>
            <w:r w:rsidR="00B92974">
              <w:rPr>
                <w:rFonts w:ascii="Calibri" w:eastAsia="Times New Roman" w:hAnsi="Calibri" w:cs="Calibri"/>
                <w:color w:val="0000CC"/>
                <w:sz w:val="18"/>
                <w:szCs w:val="18"/>
              </w:rPr>
              <w:t>-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27</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2.3: Evaluate and disseminate the best processing technologies that keep nutrient losses to a minimum in fruit and vegetables</w:t>
            </w:r>
            <w:r w:rsidR="006A2851">
              <w:rPr>
                <w:rFonts w:ascii="Calibri" w:eastAsia="Times New Roman" w:hAnsi="Calibri" w:cs="Calibri"/>
                <w:color w:val="0000CC"/>
                <w:sz w:val="18"/>
                <w:szCs w:val="18"/>
              </w:rPr>
              <w:t>- Where is the research? Capacity building is cross-cutting and should be part of all the planned research activities! What is the progress on the papers submitted at the legacy meeting? May be you should concentrate on finalizing the papers rather than starting new activities</w:t>
            </w:r>
            <w:r w:rsidR="00A35887">
              <w:rPr>
                <w:rFonts w:ascii="Calibri" w:eastAsia="Times New Roman" w:hAnsi="Calibri" w:cs="Calibri"/>
                <w:color w:val="0000CC"/>
                <w:sz w:val="18"/>
                <w:szCs w:val="18"/>
              </w:rPr>
              <w:t>.</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Diallo Fatimata Cisse, LTA/IER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15000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28</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6A2851">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2.4: Train trainers (technicians, partners and community leaders) on the best processing and conservation techniques </w:t>
            </w:r>
            <w:r w:rsidR="006A2851">
              <w:rPr>
                <w:rFonts w:ascii="Calibri" w:eastAsia="Times New Roman" w:hAnsi="Calibri" w:cs="Calibri"/>
                <w:color w:val="000000"/>
                <w:sz w:val="18"/>
                <w:szCs w:val="18"/>
              </w:rPr>
              <w:t xml:space="preserve">- </w:t>
            </w:r>
            <w:r w:rsidR="006A2851">
              <w:rPr>
                <w:rFonts w:ascii="Calibri" w:eastAsia="Times New Roman" w:hAnsi="Calibri" w:cs="Calibri"/>
                <w:color w:val="0000CC"/>
                <w:sz w:val="18"/>
                <w:szCs w:val="18"/>
              </w:rPr>
              <w:t>Which research activity is this related to? Capacity building cross-cutting and should be part of all planned research activities!</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Diallo Fatimata Cisse, LTA/IER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lastRenderedPageBreak/>
              <w:t>Outcome 3: Farmers and other value chain actors have greater and equitable access to production assets and markets (input and output) through enabling institutions and policies.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1: Improved policies and institutional arrangements to increase participation of farm families, especially women and youth in the output and input markets and decision-making are developed.</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Review existing policies and institutional arrangements affecting equitable access to production assets and markets.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nil"/>
              <w:bottom w:val="nil"/>
              <w:right w:val="nil"/>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p>
        </w:tc>
        <w:tc>
          <w:tcPr>
            <w:tcW w:w="4840" w:type="dxa"/>
            <w:gridSpan w:val="2"/>
            <w:tcBorders>
              <w:top w:val="nil"/>
              <w:left w:val="nil"/>
              <w:bottom w:val="nil"/>
              <w:right w:val="nil"/>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p>
        </w:tc>
        <w:tc>
          <w:tcPr>
            <w:tcW w:w="1576" w:type="dxa"/>
            <w:tcBorders>
              <w:top w:val="nil"/>
              <w:left w:val="nil"/>
              <w:bottom w:val="nil"/>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rPr>
            </w:pP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2: Identify  constraints to,  and opportunities for improving access to the output and input markets by women and youth in the target area.</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29</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2.1: Assess value chain constraints and opportunities for male, female and young farmers in the Koutiala area</w:t>
            </w:r>
            <w:r w:rsidR="00B64107">
              <w:rPr>
                <w:rFonts w:ascii="Calibri" w:eastAsia="Times New Roman" w:hAnsi="Calibri" w:cs="Calibri"/>
                <w:color w:val="000000"/>
                <w:sz w:val="18"/>
                <w:szCs w:val="18"/>
              </w:rPr>
              <w:t xml:space="preserve"> - </w:t>
            </w:r>
            <w:r w:rsidR="00B64107">
              <w:rPr>
                <w:rFonts w:ascii="Calibri" w:eastAsia="Times New Roman" w:hAnsi="Calibri" w:cs="Calibri"/>
                <w:color w:val="0000CC"/>
                <w:sz w:val="18"/>
                <w:szCs w:val="18"/>
              </w:rPr>
              <w:t>combine with sub-activity 9</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Katrien Descheemaeker / WUR</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2: Options to increase access to production assets and increase participation in decision-making by women, youth and other vulnerable groups.</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Identify constraints to,  and opportunities for increasing women and youth access to production assets  in the target area.</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lastRenderedPageBreak/>
              <w:t> </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FFC000"/>
                <w:sz w:val="18"/>
                <w:szCs w:val="18"/>
              </w:rPr>
            </w:pPr>
            <w:r w:rsidRPr="00285724">
              <w:rPr>
                <w:rFonts w:ascii="Calibri" w:eastAsia="Times New Roman" w:hAnsi="Calibri" w:cs="Calibri"/>
                <w:color w:val="000000"/>
                <w:sz w:val="18"/>
                <w:szCs w:val="18"/>
              </w:rPr>
              <w:t>Sub-activity 2.1:</w:t>
            </w:r>
            <w:r w:rsidRPr="00285724">
              <w:rPr>
                <w:rFonts w:ascii="Calibri" w:eastAsia="Times New Roman" w:hAnsi="Calibri" w:cs="Calibri"/>
                <w:color w:val="FFC000"/>
                <w:sz w:val="18"/>
                <w:szCs w:val="18"/>
              </w:rPr>
              <w:t xml:space="preserve"> </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b/>
                <w:bCs/>
                <w:color w:val="000000"/>
                <w:sz w:val="18"/>
                <w:szCs w:val="18"/>
              </w:rPr>
            </w:pPr>
            <w:r w:rsidRPr="00285724">
              <w:rPr>
                <w:rFonts w:ascii="Calibri" w:eastAsia="Times New Roman" w:hAnsi="Calibri" w:cs="Calibri"/>
                <w:b/>
                <w:bCs/>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Outcome 4: Effective partnerships to ensure delivery and uptake at scale of SI, technologies and practices are established with farmers, local communities, and research and development partners in the private and public sectors.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1: Understanding of the social, economic, and institutional constraints to and opportunities for technology adoption from different farm typologies improved.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Conduct cost-benefit and gender analysis coupled with other socio-economic analyses to identify and quantify adoption constraints and opportunities for different farmer contexts.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30</w:t>
            </w:r>
          </w:p>
        </w:tc>
        <w:tc>
          <w:tcPr>
            <w:tcW w:w="4840" w:type="dxa"/>
            <w:gridSpan w:val="2"/>
            <w:tcBorders>
              <w:top w:val="nil"/>
              <w:left w:val="nil"/>
              <w:bottom w:val="single" w:sz="4" w:space="0" w:color="auto"/>
              <w:right w:val="single" w:sz="4" w:space="0" w:color="auto"/>
            </w:tcBorders>
            <w:shd w:val="clear" w:color="auto" w:fill="auto"/>
            <w:hideMark/>
          </w:tcPr>
          <w:p w:rsidR="006A2851"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1.1: Cost-benefit analysis of alternative systems for sorghum production</w:t>
            </w:r>
            <w:r w:rsidR="00B64107">
              <w:rPr>
                <w:rFonts w:ascii="Calibri" w:eastAsia="Times New Roman" w:hAnsi="Calibri" w:cs="Calibri"/>
                <w:color w:val="000000"/>
                <w:sz w:val="18"/>
                <w:szCs w:val="18"/>
              </w:rPr>
              <w:t xml:space="preserve"> -</w:t>
            </w:r>
            <w:r w:rsidR="006A2851">
              <w:rPr>
                <w:rFonts w:ascii="Calibri" w:eastAsia="Times New Roman" w:hAnsi="Calibri" w:cs="Calibri"/>
                <w:color w:val="0000CC"/>
                <w:sz w:val="18"/>
                <w:szCs w:val="18"/>
              </w:rPr>
              <w:t>- shouldn't this be part of the cereal-legume systems research under sub-activity 2?</w:t>
            </w:r>
          </w:p>
          <w:p w:rsidR="006A2851" w:rsidRDefault="006A2851" w:rsidP="00285724">
            <w:pPr>
              <w:spacing w:after="0" w:line="240" w:lineRule="auto"/>
              <w:rPr>
                <w:rFonts w:ascii="Calibri" w:eastAsia="Times New Roman" w:hAnsi="Calibri" w:cs="Calibri"/>
                <w:color w:val="0000CC"/>
                <w:sz w:val="18"/>
                <w:szCs w:val="18"/>
              </w:rPr>
            </w:pPr>
          </w:p>
          <w:p w:rsidR="00285724" w:rsidRPr="00285724" w:rsidRDefault="006A2851" w:rsidP="006A2851">
            <w:pPr>
              <w:spacing w:after="0" w:line="240" w:lineRule="auto"/>
              <w:rPr>
                <w:rFonts w:ascii="Calibri" w:eastAsia="Times New Roman" w:hAnsi="Calibri" w:cs="Calibri"/>
                <w:color w:val="000000"/>
                <w:sz w:val="18"/>
                <w:szCs w:val="18"/>
              </w:rPr>
            </w:pPr>
            <w:r>
              <w:rPr>
                <w:rFonts w:ascii="Calibri" w:eastAsia="Times New Roman" w:hAnsi="Calibri" w:cs="Calibri"/>
                <w:color w:val="0000CC"/>
                <w:sz w:val="18"/>
                <w:szCs w:val="18"/>
              </w:rPr>
              <w:t>A paper was presented at the legacy workshop on this activity. What is the status of the paper? Do you really need 20k to finalize a paper? See comments on sub-activity 11</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Felix Badolo/ICRISAT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31</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1.2:  Profitability and gender analysis of vegtable monocropping and intercrops</w:t>
            </w:r>
            <w:r w:rsidR="006A2851">
              <w:rPr>
                <w:rFonts w:ascii="Calibri" w:eastAsia="Times New Roman" w:hAnsi="Calibri" w:cs="Calibri"/>
                <w:color w:val="000000"/>
                <w:sz w:val="18"/>
                <w:szCs w:val="18"/>
              </w:rPr>
              <w:t xml:space="preserve">- </w:t>
            </w:r>
            <w:r w:rsidR="006A2851">
              <w:rPr>
                <w:rFonts w:ascii="Calibri" w:eastAsia="Times New Roman" w:hAnsi="Calibri" w:cs="Calibri"/>
                <w:color w:val="0000CC"/>
                <w:sz w:val="18"/>
                <w:szCs w:val="18"/>
              </w:rPr>
              <w:t>should be part of the vegetable sub-activity - see sub-activity 1.</w:t>
            </w:r>
            <w:r w:rsidRPr="00285724">
              <w:rPr>
                <w:rFonts w:ascii="Calibri" w:eastAsia="Times New Roman" w:hAnsi="Calibri" w:cs="Calibri"/>
                <w:color w:val="000000"/>
                <w:sz w:val="18"/>
                <w:szCs w:val="18"/>
              </w:rPr>
              <w:t xml:space="preserve">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Felix Badolo/ICRISAT, Jean Baptiste/World Veg</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2: Map and assess relevant stakeholders to establish dialogue for the exploration of mutual synergies for scaling delivery of validated technologies.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sz w:val="18"/>
                <w:szCs w:val="18"/>
              </w:rPr>
            </w:pPr>
            <w:r w:rsidRPr="00285724">
              <w:rPr>
                <w:rFonts w:ascii="Calibri" w:eastAsia="Times New Roman" w:hAnsi="Calibri" w:cs="Calibri"/>
                <w:sz w:val="18"/>
                <w:szCs w:val="18"/>
              </w:rPr>
              <w:lastRenderedPageBreak/>
              <w:t>32</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2.1: Competition organization between communities to stimulate innovations adoption</w:t>
            </w:r>
            <w:r w:rsidR="00B92974">
              <w:rPr>
                <w:rFonts w:ascii="Calibri" w:eastAsia="Times New Roman" w:hAnsi="Calibri" w:cs="Calibri"/>
                <w:color w:val="0000CC"/>
                <w:sz w:val="18"/>
                <w:szCs w:val="18"/>
              </w:rPr>
              <w:t>-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sz w:val="18"/>
                <w:szCs w:val="18"/>
              </w:rPr>
            </w:pPr>
            <w:r w:rsidRPr="00285724">
              <w:rPr>
                <w:rFonts w:ascii="Calibri" w:eastAsia="Times New Roman" w:hAnsi="Calibri" w:cs="Calibri"/>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10000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sz w:val="18"/>
                <w:szCs w:val="18"/>
              </w:rPr>
            </w:pPr>
            <w:r w:rsidRPr="00285724">
              <w:rPr>
                <w:rFonts w:ascii="Calibri" w:eastAsia="Times New Roman" w:hAnsi="Calibri" w:cs="Calibri"/>
                <w:sz w:val="18"/>
                <w:szCs w:val="18"/>
              </w:rPr>
              <w:t>33</w:t>
            </w:r>
          </w:p>
        </w:tc>
        <w:tc>
          <w:tcPr>
            <w:tcW w:w="4840" w:type="dxa"/>
            <w:gridSpan w:val="2"/>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2.2: Strenten the capacity of NGOs  (AMASSA, CAAD, FENAB, GRAADECOM),  extensions services (Agriculture, Elevage, Foresterie) and farmers organization for the technological packages widely dissemination</w:t>
            </w:r>
            <w:r w:rsidR="006A2851">
              <w:rPr>
                <w:rFonts w:ascii="Calibri" w:eastAsia="Times New Roman" w:hAnsi="Calibri" w:cs="Calibri"/>
                <w:color w:val="000000"/>
                <w:sz w:val="18"/>
                <w:szCs w:val="18"/>
              </w:rPr>
              <w:t xml:space="preserve"> - </w:t>
            </w:r>
            <w:r w:rsidR="006A2851">
              <w:rPr>
                <w:rFonts w:ascii="Calibri" w:eastAsia="Times New Roman" w:hAnsi="Calibri" w:cs="Calibri"/>
                <w:color w:val="0000CC"/>
                <w:sz w:val="18"/>
                <w:szCs w:val="18"/>
              </w:rPr>
              <w:t>- see comments on sub-activity 11</w:t>
            </w:r>
          </w:p>
        </w:tc>
        <w:tc>
          <w:tcPr>
            <w:tcW w:w="1576" w:type="dxa"/>
            <w:tcBorders>
              <w:top w:val="nil"/>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Oumar Samake/AMEDD</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85724" w:rsidRPr="00285724" w:rsidRDefault="00285724" w:rsidP="00285724">
            <w:pPr>
              <w:spacing w:after="0" w:line="240" w:lineRule="auto"/>
              <w:rPr>
                <w:rFonts w:ascii="Calibri" w:eastAsia="Times New Roman" w:hAnsi="Calibri" w:cs="Calibri"/>
                <w:sz w:val="18"/>
                <w:szCs w:val="18"/>
              </w:rPr>
            </w:pPr>
            <w:r w:rsidRPr="00285724">
              <w:rPr>
                <w:rFonts w:ascii="Calibri" w:eastAsia="Times New Roman" w:hAnsi="Calibri" w:cs="Calibri"/>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15000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b/>
                <w:color w:val="000000"/>
                <w:sz w:val="18"/>
                <w:szCs w:val="18"/>
              </w:rPr>
              <w:t>Activity 3: Leverage/link and integrate (engagement and outreach) with existent initiatives including Government extension systems to support and encourage the delivery pathways</w:t>
            </w:r>
            <w:r w:rsidRPr="00285724">
              <w:rPr>
                <w:rFonts w:ascii="Calibri" w:eastAsia="Times New Roman" w:hAnsi="Calibri" w:cs="Calibri"/>
                <w:color w:val="000000"/>
                <w:sz w:val="18"/>
                <w:szCs w:val="18"/>
              </w:rPr>
              <w: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1.1: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1.2: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2: Gender-sensitive decision support tools for farmers to assess technology-associated risk and opportunity developed tested and launched.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Identify and communicate gender-sensitive decision support technologies in the context of different farm typologies.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xml:space="preserve">Sub-activity 1.1: </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bookmarkStart w:id="1" w:name="_GoBack"/>
            <w:bookmarkEnd w:id="1"/>
            <w:r w:rsidRPr="00285724">
              <w:rPr>
                <w:rFonts w:ascii="Calibri" w:eastAsia="Times New Roman" w:hAnsi="Calibri" w:cs="Calibri"/>
                <w:b/>
                <w:color w:val="000000"/>
                <w:sz w:val="18"/>
                <w:szCs w:val="18"/>
              </w:rPr>
              <w:lastRenderedPageBreak/>
              <w:t>Output 3: A technology adoption, monitoring, and evaluation framework for use by the project team and scaling partners developed and released.</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Activity 1: Monitor and modify the progress of technology adoption process towards scaling.</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34</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D12873">
            <w:pPr>
              <w:spacing w:after="0" w:line="240" w:lineRule="auto"/>
              <w:rPr>
                <w:rFonts w:ascii="Calibri" w:eastAsia="Times New Roman" w:hAnsi="Calibri" w:cs="Calibri"/>
                <w:color w:val="0000CC"/>
                <w:sz w:val="18"/>
                <w:szCs w:val="18"/>
              </w:rPr>
            </w:pPr>
            <w:r w:rsidRPr="00285724">
              <w:rPr>
                <w:rFonts w:ascii="Calibri" w:eastAsia="Times New Roman" w:hAnsi="Calibri" w:cs="Calibri"/>
                <w:color w:val="000000"/>
                <w:sz w:val="18"/>
                <w:szCs w:val="18"/>
              </w:rPr>
              <w:t>Sub-activity 1.1: Development and formalization of local conventions including demarcation of livestock corridors</w:t>
            </w:r>
            <w:r w:rsidR="00D12873">
              <w:rPr>
                <w:rFonts w:ascii="Calibri" w:eastAsia="Times New Roman" w:hAnsi="Calibri" w:cs="Calibri"/>
                <w:color w:val="000000"/>
                <w:sz w:val="18"/>
                <w:szCs w:val="18"/>
              </w:rPr>
              <w:t xml:space="preserve"> - </w:t>
            </w:r>
            <w:r w:rsidR="00D12873">
              <w:rPr>
                <w:rFonts w:ascii="Calibri" w:eastAsia="Times New Roman" w:hAnsi="Calibri" w:cs="Calibri"/>
                <w:color w:val="0000CC"/>
                <w:sz w:val="18"/>
                <w:szCs w:val="18"/>
              </w:rPr>
              <w:t>can this joined with sub-activities 4, 5 and 6?</w:t>
            </w:r>
            <w:r w:rsidR="006A2851">
              <w:rPr>
                <w:rFonts w:ascii="Calibri" w:eastAsia="Times New Roman" w:hAnsi="Calibri" w:cs="Calibri"/>
                <w:color w:val="0000CC"/>
                <w:sz w:val="18"/>
                <w:szCs w:val="18"/>
              </w:rPr>
              <w:t xml:space="preserve"> How different will this be from the phase 1 activities?</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Augustine Ayantunde/ILRI</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20000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Output 4: Knowledge sharing centers and learning alliances within existent local and regional institutions including development actors developed.</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6956" w:type="dxa"/>
            <w:gridSpan w:val="4"/>
            <w:tcBorders>
              <w:top w:val="single" w:sz="4" w:space="0" w:color="auto"/>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b/>
                <w:color w:val="000000"/>
                <w:sz w:val="18"/>
                <w:szCs w:val="18"/>
              </w:rPr>
            </w:pPr>
            <w:r w:rsidRPr="00285724">
              <w:rPr>
                <w:rFonts w:ascii="Calibri" w:eastAsia="Times New Roman" w:hAnsi="Calibri" w:cs="Calibri"/>
                <w:b/>
                <w:color w:val="000000"/>
                <w:sz w:val="18"/>
                <w:szCs w:val="18"/>
              </w:rPr>
              <w:t>Activity 1: Establish knowledge-sharing and learning alliances among scaling actors.</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0</w:t>
            </w:r>
          </w:p>
        </w:tc>
      </w:tr>
      <w:tr w:rsidR="00285724" w:rsidRPr="00285724" w:rsidTr="0024301F">
        <w:trPr>
          <w:trHeight w:val="1002"/>
        </w:trPr>
        <w:tc>
          <w:tcPr>
            <w:tcW w:w="540" w:type="dxa"/>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35</w:t>
            </w:r>
          </w:p>
        </w:tc>
        <w:tc>
          <w:tcPr>
            <w:tcW w:w="4840" w:type="dxa"/>
            <w:gridSpan w:val="2"/>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Sub-activity 1.1: Management and operation of four technology parks as sites for research and dissemination hubs</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Birhanu Zemadim/ICRISAT</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300000</w:t>
            </w:r>
          </w:p>
        </w:tc>
      </w:tr>
      <w:tr w:rsidR="00285724" w:rsidRPr="00285724" w:rsidTr="0024301F">
        <w:trPr>
          <w:trHeight w:val="300"/>
        </w:trPr>
        <w:tc>
          <w:tcPr>
            <w:tcW w:w="540" w:type="dxa"/>
            <w:tcBorders>
              <w:top w:val="nil"/>
              <w:left w:val="single" w:sz="4" w:space="0" w:color="auto"/>
              <w:bottom w:val="single" w:sz="4" w:space="0" w:color="auto"/>
              <w:right w:val="nil"/>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4840" w:type="dxa"/>
            <w:gridSpan w:val="2"/>
            <w:tcBorders>
              <w:top w:val="nil"/>
              <w:left w:val="single" w:sz="4" w:space="0" w:color="auto"/>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Sub Total</w:t>
            </w:r>
          </w:p>
        </w:tc>
        <w:tc>
          <w:tcPr>
            <w:tcW w:w="1576" w:type="dxa"/>
            <w:tcBorders>
              <w:top w:val="nil"/>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1509"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rPr>
                <w:rFonts w:ascii="Calibri" w:eastAsia="Times New Roman" w:hAnsi="Calibri" w:cs="Calibri"/>
                <w:color w:val="000000"/>
                <w:sz w:val="18"/>
                <w:szCs w:val="18"/>
              </w:rPr>
            </w:pPr>
            <w:r w:rsidRPr="00285724">
              <w:rPr>
                <w:rFonts w:ascii="Calibri" w:eastAsia="Times New Roman" w:hAnsi="Calibri" w:cs="Calibri"/>
                <w:color w:val="000000"/>
                <w:sz w:val="18"/>
                <w:szCs w:val="18"/>
              </w:rPr>
              <w:t> </w:t>
            </w:r>
          </w:p>
        </w:tc>
        <w:tc>
          <w:tcPr>
            <w:tcW w:w="771" w:type="dxa"/>
            <w:tcBorders>
              <w:top w:val="single" w:sz="4" w:space="0" w:color="auto"/>
              <w:left w:val="nil"/>
              <w:bottom w:val="single" w:sz="4" w:space="0" w:color="auto"/>
              <w:right w:val="single" w:sz="4" w:space="0" w:color="auto"/>
            </w:tcBorders>
            <w:shd w:val="clear" w:color="auto" w:fill="auto"/>
            <w:hideMark/>
          </w:tcPr>
          <w:p w:rsidR="00285724" w:rsidRPr="00285724" w:rsidRDefault="00285724" w:rsidP="00285724">
            <w:pPr>
              <w:spacing w:after="0" w:line="240" w:lineRule="auto"/>
              <w:jc w:val="right"/>
              <w:rPr>
                <w:rFonts w:ascii="Calibri" w:eastAsia="Times New Roman" w:hAnsi="Calibri" w:cs="Calibri"/>
                <w:color w:val="000000"/>
                <w:sz w:val="18"/>
                <w:szCs w:val="18"/>
              </w:rPr>
            </w:pPr>
            <w:r w:rsidRPr="00285724">
              <w:rPr>
                <w:rFonts w:ascii="Calibri" w:eastAsia="Times New Roman" w:hAnsi="Calibri" w:cs="Calibri"/>
                <w:color w:val="000000"/>
                <w:sz w:val="18"/>
                <w:szCs w:val="18"/>
              </w:rPr>
              <w:t>815000</w:t>
            </w:r>
          </w:p>
        </w:tc>
      </w:tr>
      <w:tr w:rsidR="00285724" w:rsidRPr="00285724" w:rsidTr="0024301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ICRISAT Overhead (18.7%)</w:t>
            </w:r>
          </w:p>
        </w:tc>
        <w:tc>
          <w:tcPr>
            <w:tcW w:w="1576" w:type="dxa"/>
            <w:tcBorders>
              <w:top w:val="nil"/>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1509"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jc w:val="right"/>
              <w:rPr>
                <w:rFonts w:ascii="Calibri" w:eastAsia="Times New Roman" w:hAnsi="Calibri" w:cs="Calibri"/>
                <w:b/>
                <w:bCs/>
                <w:color w:val="000000"/>
                <w:sz w:val="20"/>
                <w:szCs w:val="20"/>
              </w:rPr>
            </w:pPr>
            <w:r w:rsidRPr="00285724">
              <w:rPr>
                <w:rFonts w:ascii="Calibri" w:eastAsia="Times New Roman" w:hAnsi="Calibri" w:cs="Calibri"/>
                <w:b/>
                <w:bCs/>
                <w:color w:val="000000"/>
                <w:sz w:val="20"/>
                <w:szCs w:val="20"/>
              </w:rPr>
              <w:t xml:space="preserve">135575 </w:t>
            </w:r>
          </w:p>
        </w:tc>
      </w:tr>
      <w:tr w:rsidR="00285724" w:rsidRPr="00285724" w:rsidTr="0024301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1576" w:type="dxa"/>
            <w:tcBorders>
              <w:top w:val="nil"/>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1509"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rPr>
                <w:rFonts w:ascii="Calibri" w:eastAsia="Times New Roman" w:hAnsi="Calibri" w:cs="Calibri"/>
                <w:color w:val="000000"/>
                <w:sz w:val="20"/>
                <w:szCs w:val="20"/>
              </w:rPr>
            </w:pPr>
            <w:r w:rsidRPr="00285724">
              <w:rPr>
                <w:rFonts w:ascii="Calibri" w:eastAsia="Times New Roman" w:hAnsi="Calibri" w:cs="Calibri"/>
                <w:color w:val="000000"/>
                <w:sz w:val="20"/>
                <w:szCs w:val="20"/>
              </w:rPr>
              <w:t> </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285724" w:rsidRPr="00285724" w:rsidRDefault="00285724" w:rsidP="00285724">
            <w:pPr>
              <w:spacing w:after="0" w:line="240" w:lineRule="auto"/>
              <w:jc w:val="right"/>
              <w:rPr>
                <w:rFonts w:ascii="Calibri" w:eastAsia="Times New Roman" w:hAnsi="Calibri" w:cs="Calibri"/>
                <w:b/>
                <w:bCs/>
                <w:color w:val="000000"/>
              </w:rPr>
            </w:pPr>
            <w:r w:rsidRPr="00285724">
              <w:rPr>
                <w:rFonts w:ascii="Calibri" w:eastAsia="Times New Roman" w:hAnsi="Calibri" w:cs="Calibri"/>
                <w:b/>
                <w:bCs/>
                <w:color w:val="000000"/>
              </w:rPr>
              <w:t xml:space="preserve">950575 </w:t>
            </w:r>
          </w:p>
        </w:tc>
      </w:tr>
    </w:tbl>
    <w:p w:rsidR="00823542" w:rsidRDefault="00823542"/>
    <w:sectPr w:rsidR="00823542" w:rsidSect="00823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24"/>
    <w:rsid w:val="000A5371"/>
    <w:rsid w:val="001C0EB9"/>
    <w:rsid w:val="0024301F"/>
    <w:rsid w:val="00285724"/>
    <w:rsid w:val="004924C7"/>
    <w:rsid w:val="006A2851"/>
    <w:rsid w:val="00823542"/>
    <w:rsid w:val="00936EAE"/>
    <w:rsid w:val="0099358B"/>
    <w:rsid w:val="00A35887"/>
    <w:rsid w:val="00B64107"/>
    <w:rsid w:val="00B92974"/>
    <w:rsid w:val="00CF2368"/>
    <w:rsid w:val="00D12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CD356-E9A2-4269-81EA-4DF944E3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5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95023">
      <w:bodyDiv w:val="1"/>
      <w:marLeft w:val="0"/>
      <w:marRight w:val="0"/>
      <w:marTop w:val="0"/>
      <w:marBottom w:val="0"/>
      <w:divBdr>
        <w:top w:val="none" w:sz="0" w:space="0" w:color="auto"/>
        <w:left w:val="none" w:sz="0" w:space="0" w:color="auto"/>
        <w:bottom w:val="none" w:sz="0" w:space="0" w:color="auto"/>
        <w:right w:val="none" w:sz="0" w:space="0" w:color="auto"/>
      </w:divBdr>
    </w:div>
    <w:div w:id="201406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68981-16A3-4D6E-9E85-EDE14239B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2612</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Larbi</dc:creator>
  <cp:lastModifiedBy>Birhanu Zemadim</cp:lastModifiedBy>
  <cp:revision>2</cp:revision>
  <cp:lastPrinted>2017-02-13T12:39:00Z</cp:lastPrinted>
  <dcterms:created xsi:type="dcterms:W3CDTF">2017-02-13T17:44:00Z</dcterms:created>
  <dcterms:modified xsi:type="dcterms:W3CDTF">2017-02-13T17:44:00Z</dcterms:modified>
</cp:coreProperties>
</file>